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38E35150" w:rsidR="00EF1A56" w:rsidRPr="006D41D7" w:rsidRDefault="00676DB3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762134" wp14:editId="15580E62">
            <wp:simplePos x="0" y="0"/>
            <wp:positionH relativeFrom="column">
              <wp:posOffset>4947285</wp:posOffset>
            </wp:positionH>
            <wp:positionV relativeFrom="paragraph">
              <wp:posOffset>-180975</wp:posOffset>
            </wp:positionV>
            <wp:extent cx="1300480" cy="789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an fla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C9A"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4FC5AA5B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B06D0B1" w:rsidR="00984C9A" w:rsidRDefault="00984C9A">
                            <w:bookmarkStart w:id="0" w:name="_Hlk95416559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B06D0B1" w:rsidR="00984C9A" w:rsidRDefault="00984C9A">
                      <w:bookmarkStart w:id="1" w:name="_Hlk95416559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DB3252">
        <w:rPr>
          <w:b/>
          <w:bCs/>
          <w:color w:val="BF8F00" w:themeColor="accent4" w:themeShade="BF"/>
          <w:sz w:val="40"/>
          <w:szCs w:val="40"/>
        </w:rPr>
        <w:t>11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467BDE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8F22DC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AF0123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3174636F" w14:textId="77777777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Pupils have 2 lessons of German a week (one single and one double).  </w:t>
      </w:r>
    </w:p>
    <w:p w14:paraId="5917788F" w14:textId="77777777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</w:t>
      </w:r>
      <w:proofErr w:type="spellStart"/>
      <w:r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7478DA9E" w14:textId="55018730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</w:t>
      </w:r>
      <w:r w:rsidR="00D31525">
        <w:t>Quizlet</w:t>
      </w:r>
      <w:r w:rsidR="00DA7E51">
        <w:t xml:space="preserve"> websites</w:t>
      </w:r>
      <w:r>
        <w:t>.</w:t>
      </w:r>
    </w:p>
    <w:p w14:paraId="0BDE49E6" w14:textId="47D9ECBC" w:rsidR="00067DC0" w:rsidRDefault="006F4C04" w:rsidP="00067DC0">
      <w:pPr>
        <w:pStyle w:val="ListParagraph"/>
      </w:pPr>
      <w:hyperlink r:id="rId6" w:history="1">
        <w:r w:rsidR="00067DC0" w:rsidRPr="00067DC0">
          <w:rPr>
            <w:rStyle w:val="Hyperlink"/>
          </w:rPr>
          <w:t>https://quizlet.com/en-gb/content/aqa-gcse-german-resources</w:t>
        </w:r>
      </w:hyperlink>
    </w:p>
    <w:p w14:paraId="5B67C2FA" w14:textId="4650290F" w:rsidR="00DB3252" w:rsidRDefault="00DB3252" w:rsidP="00DB3252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</w:t>
      </w:r>
      <w:r w:rsidR="00632349">
        <w:t>e set on Show my Homework</w:t>
      </w:r>
      <w:r>
        <w:t>.</w:t>
      </w:r>
    </w:p>
    <w:p w14:paraId="01920279" w14:textId="77777777" w:rsidR="00DA7E51" w:rsidRDefault="00DA7E51" w:rsidP="00AF0123">
      <w:pPr>
        <w:pStyle w:val="ListParagraph"/>
        <w:rPr>
          <w:b/>
        </w:rPr>
      </w:pPr>
    </w:p>
    <w:p w14:paraId="180A43B8" w14:textId="36AC0D96" w:rsidR="00AF0123" w:rsidRPr="008A51AF" w:rsidRDefault="00AF0123" w:rsidP="00AF0123">
      <w:pPr>
        <w:pStyle w:val="ListParagraph"/>
      </w:pPr>
      <w:r w:rsidRPr="008A51AF">
        <w:rPr>
          <w:b/>
        </w:rPr>
        <w:t>PUPILS SHOULD ALSO BE LEARNING THE ANSWERS TO THEIR SPEAKING QUESTIONS OFF BY HEART READY FOR THEIR SPEAKING EXAM AT THE END OF APRIL. THE QUESTIONS ARE BELOW TH</w:t>
      </w:r>
      <w:r>
        <w:rPr>
          <w:b/>
        </w:rPr>
        <w:t>IS</w:t>
      </w:r>
      <w:r w:rsidRPr="008A51AF">
        <w:rPr>
          <w:b/>
        </w:rPr>
        <w:t xml:space="preserve"> WEEKLY PLAN AND SPEAKING BOOKLET</w:t>
      </w:r>
      <w:r>
        <w:rPr>
          <w:b/>
        </w:rPr>
        <w:t>S</w:t>
      </w:r>
      <w:r w:rsidRPr="008A51AF">
        <w:rPr>
          <w:b/>
        </w:rPr>
        <w:t xml:space="preserve"> </w:t>
      </w:r>
      <w:r>
        <w:rPr>
          <w:b/>
        </w:rPr>
        <w:t>ARE</w:t>
      </w:r>
      <w:r w:rsidRPr="008A51AF">
        <w:rPr>
          <w:b/>
        </w:rPr>
        <w:t xml:space="preserve"> IN THE PUPIL WORK AREA FOR ROLEPLAY AND PHOTOCARD PRACTICE.</w:t>
      </w:r>
    </w:p>
    <w:p w14:paraId="0C43FC58" w14:textId="77777777" w:rsidR="00AF0123" w:rsidRDefault="00AF0123" w:rsidP="00AF0123">
      <w:pPr>
        <w:pStyle w:val="ListParagraph"/>
      </w:pPr>
    </w:p>
    <w:p w14:paraId="536B3D5C" w14:textId="77777777" w:rsidR="00EF738D" w:rsidRDefault="00EF738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5386"/>
        <w:gridCol w:w="3544"/>
      </w:tblGrid>
      <w:tr w:rsidR="006F4C04" w14:paraId="76BECF05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29D6B04F" w14:textId="128F3488" w:rsidR="006F4C04" w:rsidRPr="00D5583B" w:rsidRDefault="006F4C04" w:rsidP="006F4C04">
            <w:pPr>
              <w:rPr>
                <w:b/>
                <w:bCs/>
              </w:rPr>
            </w:pPr>
            <w:bookmarkStart w:id="1" w:name="_GoBack" w:colFirst="0" w:colLast="0"/>
            <w:r>
              <w:rPr>
                <w:b/>
                <w:bCs/>
              </w:rPr>
              <w:t xml:space="preserve"> Week </w:t>
            </w:r>
          </w:p>
        </w:tc>
        <w:tc>
          <w:tcPr>
            <w:tcW w:w="5386" w:type="dxa"/>
            <w:shd w:val="clear" w:color="auto" w:fill="FFE599" w:themeFill="accent4" w:themeFillTint="66"/>
          </w:tcPr>
          <w:p w14:paraId="2759E4A2" w14:textId="77777777" w:rsidR="006F4C04" w:rsidRDefault="006F4C04" w:rsidP="006F4C04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79D7BF29" w14:textId="77777777" w:rsidR="006F4C04" w:rsidRDefault="006F4C04" w:rsidP="006F4C04">
            <w:pPr>
              <w:rPr>
                <w:b/>
                <w:bCs/>
              </w:rPr>
            </w:pPr>
          </w:p>
          <w:p w14:paraId="4A0B9424" w14:textId="63C0E32A" w:rsidR="006F4C04" w:rsidRPr="00D5583B" w:rsidRDefault="006F4C04" w:rsidP="006F4C0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14:paraId="6E580FF0" w14:textId="64F6D89B" w:rsidR="006F4C04" w:rsidRPr="008F2EB9" w:rsidRDefault="006F4C04" w:rsidP="006F4C04">
            <w:r w:rsidRPr="008F2EB9">
              <w:t xml:space="preserve">Link to pages in textbook </w:t>
            </w:r>
          </w:p>
          <w:p w14:paraId="58439EC5" w14:textId="7FBAA4F6" w:rsidR="006F4C04" w:rsidRPr="00D5583B" w:rsidRDefault="006F4C04" w:rsidP="006F4C04">
            <w:pPr>
              <w:rPr>
                <w:b/>
                <w:bCs/>
              </w:rPr>
            </w:pPr>
            <w:r>
              <w:t>o</w:t>
            </w:r>
            <w:r w:rsidRPr="008F2EB9">
              <w:t xml:space="preserve">r alternative activity   </w:t>
            </w:r>
          </w:p>
        </w:tc>
      </w:tr>
      <w:tr w:rsidR="006F4C04" w14:paraId="1E7168FD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2009E67" w14:textId="1ADEEDF2" w:rsidR="006F4C04" w:rsidRDefault="006F4C04" w:rsidP="006F4C04">
            <w:r>
              <w:rPr>
                <w:b/>
                <w:bCs/>
              </w:rPr>
              <w:t xml:space="preserve"> Week 1</w:t>
            </w:r>
          </w:p>
        </w:tc>
        <w:tc>
          <w:tcPr>
            <w:tcW w:w="5386" w:type="dxa"/>
          </w:tcPr>
          <w:p w14:paraId="485FD4E5" w14:textId="77777777" w:rsidR="006F4C04" w:rsidRDefault="006F4C04" w:rsidP="006F4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Vocabulary revision</w:t>
            </w:r>
          </w:p>
          <w:p w14:paraId="1F773062" w14:textId="4E54D805" w:rsidR="006F4C04" w:rsidRDefault="006F4C04" w:rsidP="006F4C0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Recap - weather, countries, house type, rooms, furniture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</w:p>
          <w:p w14:paraId="41C8F396" w14:textId="080B297E" w:rsidR="006F4C04" w:rsidRPr="00C77496" w:rsidRDefault="006F4C04" w:rsidP="006F4C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25C497C4" w14:textId="3F82871E" w:rsidR="006F4C04" w:rsidRPr="00EF738D" w:rsidRDefault="006F4C04" w:rsidP="006F4C0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F4C04" w14:paraId="075CDEE3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D383911" w14:textId="755B1AA7" w:rsidR="006F4C04" w:rsidRDefault="006F4C04" w:rsidP="006F4C04">
            <w:r>
              <w:rPr>
                <w:b/>
                <w:bCs/>
              </w:rPr>
              <w:t xml:space="preserve"> Week 2</w:t>
            </w:r>
          </w:p>
        </w:tc>
        <w:tc>
          <w:tcPr>
            <w:tcW w:w="5386" w:type="dxa"/>
          </w:tcPr>
          <w:p w14:paraId="080CD431" w14:textId="77777777" w:rsidR="006F4C04" w:rsidRDefault="006F4C04" w:rsidP="006F4C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</w:p>
          <w:p w14:paraId="6F350A67" w14:textId="402B7B7A" w:rsidR="006F4C04" w:rsidRDefault="006F4C04" w:rsidP="006F4C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sz w:val="20"/>
                <w:szCs w:val="20"/>
              </w:rPr>
              <w:t>Recap- school, environment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 issues</w:t>
            </w:r>
            <w:r w:rsidRPr="005D1686">
              <w:rPr>
                <w:rFonts w:ascii="Arial" w:hAnsi="Arial" w:cs="Arial"/>
                <w:bCs/>
                <w:sz w:val="20"/>
                <w:szCs w:val="20"/>
              </w:rPr>
              <w:t>, clothing, animals, family members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44EAFD9C" w14:textId="4B1D3644" w:rsidR="006F4C04" w:rsidRPr="00EF738D" w:rsidRDefault="006F4C04" w:rsidP="006F4C04">
            <w:pPr>
              <w:rPr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4B94D5A5" w14:textId="0D86707B" w:rsidR="006F4C04" w:rsidRDefault="006F4C04" w:rsidP="006F4C04"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F4C04" w14:paraId="3656B9AB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5FB0818" w14:textId="431A6C48" w:rsidR="006F4C04" w:rsidRDefault="006F4C04" w:rsidP="006F4C04">
            <w:r>
              <w:rPr>
                <w:b/>
                <w:bCs/>
              </w:rPr>
              <w:t xml:space="preserve"> Week 3</w:t>
            </w:r>
          </w:p>
        </w:tc>
        <w:tc>
          <w:tcPr>
            <w:tcW w:w="5386" w:type="dxa"/>
          </w:tcPr>
          <w:p w14:paraId="654705C2" w14:textId="77777777" w:rsidR="006F4C04" w:rsidRDefault="006F4C04" w:rsidP="006F4C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</w:p>
          <w:p w14:paraId="7A31923D" w14:textId="740B95EC" w:rsidR="006F4C04" w:rsidRDefault="006F4C04" w:rsidP="006F4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Food, jobs, characteristics, hobbies, days/months, colours, transport</w:t>
            </w:r>
          </w:p>
          <w:p w14:paraId="049F31CB" w14:textId="337BE627" w:rsidR="006F4C04" w:rsidRPr="000B4575" w:rsidRDefault="006F4C04" w:rsidP="006F4C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53128261" w14:textId="7995C558" w:rsidR="006F4C04" w:rsidRDefault="006F4C04" w:rsidP="006F4C04"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F4C04" w14:paraId="4101652C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B99056E" w14:textId="67B8EA7C" w:rsidR="006F4C04" w:rsidRDefault="006F4C04" w:rsidP="006F4C04">
            <w:r>
              <w:rPr>
                <w:b/>
                <w:bCs/>
              </w:rPr>
              <w:t xml:space="preserve"> Week 4</w:t>
            </w:r>
          </w:p>
        </w:tc>
        <w:tc>
          <w:tcPr>
            <w:tcW w:w="5386" w:type="dxa"/>
          </w:tcPr>
          <w:p w14:paraId="47E3EA1F" w14:textId="0F7D14D7" w:rsidR="006F4C04" w:rsidRDefault="006F4C04" w:rsidP="006F4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6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exams in double lesson</w:t>
            </w:r>
          </w:p>
          <w:p w14:paraId="138E4A73" w14:textId="77777777" w:rsidR="006F4C04" w:rsidRDefault="006F4C04" w:rsidP="006F4C04">
            <w:r w:rsidRPr="009A1449">
              <w:t>Writing paper only</w:t>
            </w:r>
          </w:p>
          <w:p w14:paraId="1299C43A" w14:textId="7681D2A3" w:rsidR="006F4C04" w:rsidRPr="009A1449" w:rsidRDefault="006F4C04" w:rsidP="006F4C04"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single lesson or if ill at home. Mock exam will be done at another date in school if pupils are absent.</w:t>
            </w:r>
          </w:p>
        </w:tc>
        <w:tc>
          <w:tcPr>
            <w:tcW w:w="3544" w:type="dxa"/>
          </w:tcPr>
          <w:p w14:paraId="4DDBEF00" w14:textId="26122D88" w:rsidR="006F4C04" w:rsidRPr="006D5EA7" w:rsidRDefault="006F4C04" w:rsidP="006F4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6F4C04" w14:paraId="3CF2D8B6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0FB78278" w14:textId="3C087934" w:rsidR="006F4C04" w:rsidRDefault="006F4C04" w:rsidP="006F4C04">
            <w:r>
              <w:rPr>
                <w:b/>
                <w:bCs/>
              </w:rPr>
              <w:t xml:space="preserve"> Week 5</w:t>
            </w:r>
          </w:p>
        </w:tc>
        <w:tc>
          <w:tcPr>
            <w:tcW w:w="5386" w:type="dxa"/>
          </w:tcPr>
          <w:p w14:paraId="3DEF85FF" w14:textId="77777777" w:rsidR="006F4C04" w:rsidRDefault="006F4C04" w:rsidP="006F4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Past paper week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listening</w:t>
            </w:r>
          </w:p>
          <w:p w14:paraId="28F46526" w14:textId="77777777" w:rsidR="006F4C04" w:rsidRDefault="006F4C04" w:rsidP="006F4C0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past listening</w:t>
            </w:r>
            <w:r w:rsidRPr="005D1686">
              <w:rPr>
                <w:rFonts w:ascii="Arial" w:hAnsi="Arial" w:cs="Arial"/>
                <w:bCs/>
                <w:sz w:val="20"/>
                <w:szCs w:val="20"/>
              </w:rPr>
              <w:t xml:space="preserve"> paper and go over them together</w:t>
            </w:r>
            <w:r w:rsidRPr="008702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C39945" w14:textId="7B6745E2" w:rsidR="006F4C04" w:rsidRPr="006D5EA7" w:rsidRDefault="006F4C04" w:rsidP="006F4C04">
            <w:pPr>
              <w:rPr>
                <w:b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0562CB0E" w14:textId="22697DC5" w:rsidR="006F4C04" w:rsidRPr="00F057E4" w:rsidRDefault="006F4C04" w:rsidP="006F4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6F4C04" w14:paraId="62EBF3C5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6D98A12B" w14:textId="2C1E97C8" w:rsidR="006F4C04" w:rsidRDefault="006F4C04" w:rsidP="006F4C04">
            <w:r>
              <w:rPr>
                <w:b/>
                <w:bCs/>
              </w:rPr>
              <w:t xml:space="preserve"> Week 6</w:t>
            </w:r>
          </w:p>
        </w:tc>
        <w:tc>
          <w:tcPr>
            <w:tcW w:w="5386" w:type="dxa"/>
          </w:tcPr>
          <w:p w14:paraId="241FD376" w14:textId="77777777" w:rsidR="006F4C04" w:rsidRDefault="006F4C04" w:rsidP="006F4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Past paper week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reading</w:t>
            </w:r>
          </w:p>
          <w:p w14:paraId="74002AAF" w14:textId="77777777" w:rsidR="006F4C04" w:rsidRDefault="006F4C04" w:rsidP="006F4C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sz w:val="20"/>
                <w:szCs w:val="20"/>
              </w:rPr>
              <w:t>Complete past reading paper and go over them together</w:t>
            </w:r>
          </w:p>
          <w:p w14:paraId="2946DB82" w14:textId="0E4FC71E" w:rsidR="006F4C04" w:rsidRPr="00A54DBF" w:rsidRDefault="006F4C04" w:rsidP="006F4C04">
            <w:pPr>
              <w:rPr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5997CC1D" w14:textId="440AAD5B" w:rsidR="006F4C04" w:rsidRDefault="006F4C04" w:rsidP="006F4C04"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bookmarkEnd w:id="1"/>
    </w:tbl>
    <w:p w14:paraId="6B699379" w14:textId="426E8153" w:rsidR="003C03F3" w:rsidRDefault="003C03F3"/>
    <w:p w14:paraId="24641203" w14:textId="2E13D428" w:rsidR="00F057E4" w:rsidRDefault="00F057E4"/>
    <w:p w14:paraId="49BEDEEB" w14:textId="3A7AB5CA" w:rsidR="00F057E4" w:rsidRDefault="00F057E4"/>
    <w:p w14:paraId="74A6F185" w14:textId="554868C6" w:rsidR="00F057E4" w:rsidRDefault="00F057E4"/>
    <w:p w14:paraId="627A7AE6" w14:textId="77777777" w:rsidR="00F057E4" w:rsidRPr="00A63AAE" w:rsidRDefault="00F057E4" w:rsidP="00F057E4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0FC9A39F" w14:textId="77777777" w:rsidR="00F057E4" w:rsidRPr="00A63AAE" w:rsidRDefault="00F057E4" w:rsidP="00F057E4">
      <w:pPr>
        <w:pStyle w:val="NoSpacing"/>
        <w:rPr>
          <w:b/>
          <w:sz w:val="16"/>
          <w:szCs w:val="16"/>
        </w:rPr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proofErr w:type="gramStart"/>
      <w:r w:rsidRPr="00A63AAE">
        <w:t>3.Siehst</w:t>
      </w:r>
      <w:proofErr w:type="gramEnd"/>
      <w:r w:rsidRPr="00A63AAE">
        <w:t xml:space="preserve">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</w:r>
      <w:proofErr w:type="gramStart"/>
      <w:r w:rsidRPr="00A63AAE">
        <w:t>4.Bist</w:t>
      </w:r>
      <w:proofErr w:type="gramEnd"/>
      <w:r w:rsidRPr="00A63AAE">
        <w:t xml:space="preserve">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</w:r>
      <w:proofErr w:type="gramStart"/>
      <w:r w:rsidRPr="00A63AAE">
        <w:t>5.Was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proofErr w:type="gramStart"/>
      <w:r w:rsidRPr="00A63AAE">
        <w:t>6.Welches</w:t>
      </w:r>
      <w:proofErr w:type="gramEnd"/>
      <w:r w:rsidRPr="00A63AAE">
        <w:t xml:space="preserve"> Fest hast du in </w:t>
      </w:r>
      <w:proofErr w:type="spellStart"/>
      <w:r w:rsidRPr="00A63AAE">
        <w:t>letzter</w:t>
      </w:r>
      <w:proofErr w:type="spellEnd"/>
      <w:r w:rsidRPr="00A63AAE">
        <w:t xml:space="preserve"> </w:t>
      </w:r>
      <w:proofErr w:type="spellStart"/>
      <w:r w:rsidRPr="00A63AAE">
        <w:t>Zeit</w:t>
      </w:r>
      <w:proofErr w:type="spellEnd"/>
      <w:r w:rsidRPr="00A63AAE">
        <w:t xml:space="preserve">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proofErr w:type="gramStart"/>
      <w:r w:rsidRPr="00A63AAE">
        <w:rPr>
          <w:b/>
          <w:sz w:val="20"/>
          <w:szCs w:val="20"/>
        </w:rPr>
        <w:t>past</w:t>
      </w:r>
      <w:proofErr w:type="gramEnd"/>
      <w:r w:rsidRPr="00A63AAE">
        <w:rPr>
          <w:b/>
          <w:sz w:val="20"/>
          <w:szCs w:val="20"/>
        </w:rPr>
        <w:t xml:space="preserve">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4596CAFA" w14:textId="77777777" w:rsidR="00F057E4" w:rsidRPr="00A63AAE" w:rsidRDefault="00F057E4" w:rsidP="00F057E4">
      <w:pPr>
        <w:pStyle w:val="NoSpacing"/>
      </w:pPr>
      <w:r w:rsidRPr="00A63AAE">
        <w:lastRenderedPageBreak/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44F5A5D9" w14:textId="77777777" w:rsidR="00F057E4" w:rsidRPr="00A63AAE" w:rsidRDefault="00F057E4" w:rsidP="00F057E4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</w:t>
      </w:r>
      <w:proofErr w:type="gramStart"/>
      <w:r w:rsidRPr="00A63AAE">
        <w:t>an</w:t>
      </w:r>
      <w:proofErr w:type="gramEnd"/>
      <w:r w:rsidRPr="00A63AAE">
        <w:t xml:space="preserve">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1EE8452F" w14:textId="77777777" w:rsidR="00F057E4" w:rsidRPr="00A63AAE" w:rsidRDefault="00F057E4" w:rsidP="00F057E4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4FB2DD43" w14:textId="77777777" w:rsidR="00F057E4" w:rsidRPr="006C4A5A" w:rsidRDefault="00F057E4" w:rsidP="00F057E4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1BDF2E3B" w14:textId="77777777" w:rsidR="00F057E4" w:rsidRPr="00A63AAE" w:rsidRDefault="00F057E4" w:rsidP="00F057E4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5BFD4D92" w14:textId="77777777" w:rsidR="00F057E4" w:rsidRPr="007C5616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1F95C676" w14:textId="77777777" w:rsidR="00F057E4" w:rsidRDefault="00F057E4" w:rsidP="00F057E4">
      <w:pPr>
        <w:rPr>
          <w:b/>
          <w:u w:val="single"/>
        </w:rPr>
      </w:pPr>
    </w:p>
    <w:p w14:paraId="4FEB7056" w14:textId="77777777" w:rsidR="00F057E4" w:rsidRPr="00A63AAE" w:rsidRDefault="00F057E4" w:rsidP="00F057E4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16417A6C" w14:textId="77777777" w:rsidR="00F057E4" w:rsidRPr="00A63AAE" w:rsidRDefault="00F057E4" w:rsidP="00F057E4">
      <w:pPr>
        <w:pStyle w:val="NoSpacing"/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Haus</w:t>
      </w:r>
      <w:proofErr w:type="spellEnd"/>
      <w:r w:rsidRPr="00A63AAE">
        <w:t xml:space="preserve">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proofErr w:type="gramStart"/>
      <w:r w:rsidRPr="00A63AAE">
        <w:t>3.Wie</w:t>
      </w:r>
      <w:proofErr w:type="gramEnd"/>
      <w:r w:rsidRPr="00A63AAE">
        <w:t xml:space="preserve">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</w:r>
      <w:proofErr w:type="gramStart"/>
      <w:r w:rsidRPr="00A63AAE">
        <w:t>4.Wie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69023947" w14:textId="77777777" w:rsidR="00F057E4" w:rsidRPr="00A63AAE" w:rsidRDefault="00F057E4" w:rsidP="00F057E4">
      <w:pPr>
        <w:pStyle w:val="NoSpacing"/>
      </w:pPr>
      <w:r w:rsidRPr="00A63AAE">
        <w:t xml:space="preserve">8.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</w:r>
      <w:proofErr w:type="gramStart"/>
      <w:r w:rsidRPr="00A63AAE">
        <w:t>9.Gibt</w:t>
      </w:r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155C53E7" w14:textId="77777777" w:rsidR="00F057E4" w:rsidRPr="00A63AAE" w:rsidRDefault="00F057E4" w:rsidP="00F057E4">
      <w:pPr>
        <w:pStyle w:val="NoSpacing"/>
      </w:pPr>
      <w:r w:rsidRPr="00A63AAE">
        <w:t>10</w:t>
      </w:r>
      <w:proofErr w:type="gramStart"/>
      <w:r w:rsidRPr="00A63AAE">
        <w:t>.Wasfür</w:t>
      </w:r>
      <w:proofErr w:type="gramEnd"/>
      <w:r w:rsidRPr="00A63AAE">
        <w:t xml:space="preserve">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120B891B" w14:textId="77777777" w:rsidR="00F057E4" w:rsidRPr="00A63AAE" w:rsidRDefault="00F057E4" w:rsidP="00F057E4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5F978F86" w14:textId="77777777" w:rsidR="00F057E4" w:rsidRPr="00A63AAE" w:rsidRDefault="00F057E4" w:rsidP="00F057E4">
      <w:pPr>
        <w:pStyle w:val="NoSpacing"/>
      </w:pPr>
      <w:r w:rsidRPr="00A63AAE">
        <w:t xml:space="preserve">12.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5469E2CB" w14:textId="77777777" w:rsidR="00F057E4" w:rsidRPr="006C4A5A" w:rsidRDefault="00F057E4" w:rsidP="00F057E4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7D2E5AC9" w14:textId="77777777" w:rsidR="00F057E4" w:rsidRPr="006C0F64" w:rsidRDefault="00F057E4" w:rsidP="00F057E4">
      <w:pPr>
        <w:pStyle w:val="NoSpacing"/>
      </w:pPr>
      <w:proofErr w:type="gramStart"/>
      <w:r w:rsidRPr="00A63AAE">
        <w:t>14. Wo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765DD770" w14:textId="77777777" w:rsidR="00F057E4" w:rsidRPr="007C5616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091EDECC" w14:textId="77777777" w:rsidR="00F057E4" w:rsidRDefault="00F057E4" w:rsidP="00F057E4">
      <w:pPr>
        <w:rPr>
          <w:rFonts w:ascii="Comic Sans MS" w:hAnsi="Comic Sans MS"/>
          <w:b/>
          <w:sz w:val="28"/>
          <w:szCs w:val="28"/>
          <w:u w:val="single"/>
        </w:rPr>
      </w:pPr>
    </w:p>
    <w:p w14:paraId="0055FC60" w14:textId="77777777" w:rsidR="00F057E4" w:rsidRPr="00A63AAE" w:rsidRDefault="00F057E4" w:rsidP="00F057E4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7DBF8E31" w14:textId="77777777" w:rsidR="00F057E4" w:rsidRPr="00A63AAE" w:rsidRDefault="00F057E4" w:rsidP="00F057E4">
      <w:pPr>
        <w:pStyle w:val="NoSpacing"/>
      </w:pPr>
      <w:r w:rsidRPr="00A63AAE">
        <w:t xml:space="preserve">1.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</w:r>
      <w:proofErr w:type="gramStart"/>
      <w:r w:rsidRPr="00A63AAE">
        <w:t>2.Wer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</w:t>
      </w:r>
      <w:proofErr w:type="spellEnd"/>
      <w:r w:rsidRPr="00A63AAE">
        <w:t>?. (Who is your favourite teacher?)</w:t>
      </w:r>
      <w:r w:rsidRPr="00A63AAE">
        <w:br/>
      </w:r>
      <w:proofErr w:type="gramStart"/>
      <w:r w:rsidRPr="00A63AAE">
        <w:t>3.Welche</w:t>
      </w:r>
      <w:proofErr w:type="gramEnd"/>
      <w:r w:rsidRPr="00A63AAE">
        <w:t xml:space="preserve">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Schule</w:t>
      </w:r>
      <w:proofErr w:type="spellEnd"/>
      <w:r w:rsidRPr="00A63AAE">
        <w:t xml:space="preserve"> (</w:t>
      </w:r>
      <w:r>
        <w:t>Describe your school</w:t>
      </w:r>
      <w:proofErr w:type="gramStart"/>
      <w:r>
        <w:t>)</w:t>
      </w:r>
      <w:proofErr w:type="gramEnd"/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</w:t>
      </w:r>
      <w:proofErr w:type="spellStart"/>
      <w:r w:rsidRPr="00A63AAE">
        <w:t>Wie</w:t>
      </w:r>
      <w:proofErr w:type="spellEnd"/>
      <w:r w:rsidRPr="00A63AAE">
        <w:t xml:space="preserve">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Klassenfahrt</w:t>
      </w:r>
      <w:proofErr w:type="spellEnd"/>
      <w:r w:rsidRPr="00A63AAE">
        <w:t xml:space="preserve"> dieses </w:t>
      </w:r>
      <w:proofErr w:type="spellStart"/>
      <w:r w:rsidRPr="00A63AAE">
        <w:t>Jahr</w:t>
      </w:r>
      <w:proofErr w:type="spellEnd"/>
      <w:r w:rsidRPr="00A63AAE">
        <w:t xml:space="preserve">? (Is there a class trip this year?)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</w:t>
      </w:r>
      <w:proofErr w:type="spellStart"/>
      <w:r>
        <w:t>S</w:t>
      </w:r>
      <w:r w:rsidRPr="00A63AAE">
        <w:t>chule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38BEEB28" w14:textId="77777777" w:rsidR="00F057E4" w:rsidRPr="00A63AAE" w:rsidRDefault="00F057E4" w:rsidP="00F057E4">
      <w:pPr>
        <w:pStyle w:val="NoSpacing"/>
      </w:pPr>
      <w:r w:rsidRPr="00A63AAE">
        <w:t xml:space="preserve">10.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0F50416A" w14:textId="77777777" w:rsidR="00F057E4" w:rsidRPr="00A63AAE" w:rsidRDefault="00F057E4" w:rsidP="00F057E4">
      <w:pPr>
        <w:pStyle w:val="NoSpacing"/>
      </w:pPr>
      <w:proofErr w:type="gramStart"/>
      <w:r w:rsidRPr="00A63AAE">
        <w:t xml:space="preserve">11. </w:t>
      </w:r>
      <w:proofErr w:type="spell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14EA37DB" w14:textId="77777777" w:rsidR="00F057E4" w:rsidRPr="00A63AAE" w:rsidRDefault="00F057E4" w:rsidP="00F057E4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786D96CF" w14:textId="77777777" w:rsidR="00F057E4" w:rsidRPr="00A63AAE" w:rsidRDefault="00F057E4" w:rsidP="00F057E4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1F3F83A1" w14:textId="77777777" w:rsidR="00F057E4" w:rsidRPr="00A63AAE" w:rsidRDefault="00F057E4" w:rsidP="00F057E4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62A977DA" w14:textId="77777777" w:rsidR="00F057E4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55E857CF" w14:textId="28FEC13B" w:rsidR="00F057E4" w:rsidRDefault="00F057E4"/>
    <w:p w14:paraId="7EB65722" w14:textId="6D6807BA" w:rsidR="00F057E4" w:rsidRDefault="00F057E4"/>
    <w:p w14:paraId="2342D093" w14:textId="77777777" w:rsidR="00F057E4" w:rsidRDefault="00F057E4"/>
    <w:sectPr w:rsidR="00F057E4" w:rsidSect="00F057E4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6E34"/>
    <w:multiLevelType w:val="hybridMultilevel"/>
    <w:tmpl w:val="0916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67DC0"/>
    <w:rsid w:val="0007398E"/>
    <w:rsid w:val="000834BF"/>
    <w:rsid w:val="00087ABC"/>
    <w:rsid w:val="0009390D"/>
    <w:rsid w:val="00094C15"/>
    <w:rsid w:val="000B4575"/>
    <w:rsid w:val="000F2C0C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356F"/>
    <w:rsid w:val="001719B4"/>
    <w:rsid w:val="001A6B4B"/>
    <w:rsid w:val="001A7CFE"/>
    <w:rsid w:val="001B18BD"/>
    <w:rsid w:val="001D50FE"/>
    <w:rsid w:val="00207AFA"/>
    <w:rsid w:val="00214F5F"/>
    <w:rsid w:val="00227A58"/>
    <w:rsid w:val="00236422"/>
    <w:rsid w:val="0025772F"/>
    <w:rsid w:val="002D5C9D"/>
    <w:rsid w:val="003219D3"/>
    <w:rsid w:val="00326ABB"/>
    <w:rsid w:val="00335704"/>
    <w:rsid w:val="00335A2B"/>
    <w:rsid w:val="00336E56"/>
    <w:rsid w:val="003640F0"/>
    <w:rsid w:val="00367788"/>
    <w:rsid w:val="00383E44"/>
    <w:rsid w:val="003C03F3"/>
    <w:rsid w:val="003E73F2"/>
    <w:rsid w:val="0045451B"/>
    <w:rsid w:val="00467BDE"/>
    <w:rsid w:val="00486B25"/>
    <w:rsid w:val="004A4C21"/>
    <w:rsid w:val="004E6304"/>
    <w:rsid w:val="004F1639"/>
    <w:rsid w:val="005300A2"/>
    <w:rsid w:val="0053787A"/>
    <w:rsid w:val="00547AC3"/>
    <w:rsid w:val="00585106"/>
    <w:rsid w:val="00585B0E"/>
    <w:rsid w:val="005A6369"/>
    <w:rsid w:val="005E48DF"/>
    <w:rsid w:val="005F64D0"/>
    <w:rsid w:val="00613305"/>
    <w:rsid w:val="00615F5C"/>
    <w:rsid w:val="006254B3"/>
    <w:rsid w:val="00632349"/>
    <w:rsid w:val="00636821"/>
    <w:rsid w:val="00676DB3"/>
    <w:rsid w:val="006D41D7"/>
    <w:rsid w:val="006D5EA7"/>
    <w:rsid w:val="006F4C04"/>
    <w:rsid w:val="0070113E"/>
    <w:rsid w:val="00722BA9"/>
    <w:rsid w:val="00754BBB"/>
    <w:rsid w:val="00757E7B"/>
    <w:rsid w:val="00767BA0"/>
    <w:rsid w:val="007B14AF"/>
    <w:rsid w:val="007D4C16"/>
    <w:rsid w:val="007E57BA"/>
    <w:rsid w:val="008159C4"/>
    <w:rsid w:val="00816254"/>
    <w:rsid w:val="0083252E"/>
    <w:rsid w:val="00871B5A"/>
    <w:rsid w:val="0089684E"/>
    <w:rsid w:val="008C3B69"/>
    <w:rsid w:val="008D0CD1"/>
    <w:rsid w:val="008F22DC"/>
    <w:rsid w:val="00905832"/>
    <w:rsid w:val="00922EF9"/>
    <w:rsid w:val="00926620"/>
    <w:rsid w:val="00967A1C"/>
    <w:rsid w:val="00967F53"/>
    <w:rsid w:val="00984C9A"/>
    <w:rsid w:val="009A1449"/>
    <w:rsid w:val="009A7C47"/>
    <w:rsid w:val="009D33FE"/>
    <w:rsid w:val="009F7502"/>
    <w:rsid w:val="00A01A3E"/>
    <w:rsid w:val="00A40EC2"/>
    <w:rsid w:val="00A54DBF"/>
    <w:rsid w:val="00A763E0"/>
    <w:rsid w:val="00A76737"/>
    <w:rsid w:val="00A907D4"/>
    <w:rsid w:val="00AD7615"/>
    <w:rsid w:val="00AF0123"/>
    <w:rsid w:val="00AF03CF"/>
    <w:rsid w:val="00B361C4"/>
    <w:rsid w:val="00B40202"/>
    <w:rsid w:val="00B62A17"/>
    <w:rsid w:val="00B906FD"/>
    <w:rsid w:val="00B95003"/>
    <w:rsid w:val="00BA0DB3"/>
    <w:rsid w:val="00BA2D57"/>
    <w:rsid w:val="00BB41E5"/>
    <w:rsid w:val="00BB6466"/>
    <w:rsid w:val="00BE4DED"/>
    <w:rsid w:val="00C042D1"/>
    <w:rsid w:val="00C25959"/>
    <w:rsid w:val="00C25E1B"/>
    <w:rsid w:val="00C55220"/>
    <w:rsid w:val="00C62636"/>
    <w:rsid w:val="00C70C31"/>
    <w:rsid w:val="00C77496"/>
    <w:rsid w:val="00C9301E"/>
    <w:rsid w:val="00C95598"/>
    <w:rsid w:val="00C9569F"/>
    <w:rsid w:val="00CD6729"/>
    <w:rsid w:val="00CD6DB0"/>
    <w:rsid w:val="00D2656E"/>
    <w:rsid w:val="00D31525"/>
    <w:rsid w:val="00D402B9"/>
    <w:rsid w:val="00D446FC"/>
    <w:rsid w:val="00D46C6A"/>
    <w:rsid w:val="00D5583B"/>
    <w:rsid w:val="00D72FB8"/>
    <w:rsid w:val="00D740FF"/>
    <w:rsid w:val="00D85E0D"/>
    <w:rsid w:val="00D946FE"/>
    <w:rsid w:val="00DA7E51"/>
    <w:rsid w:val="00DB3252"/>
    <w:rsid w:val="00DC307B"/>
    <w:rsid w:val="00DC3A63"/>
    <w:rsid w:val="00DC7B77"/>
    <w:rsid w:val="00DE7D5C"/>
    <w:rsid w:val="00DF161F"/>
    <w:rsid w:val="00DF389E"/>
    <w:rsid w:val="00E4740A"/>
    <w:rsid w:val="00E500DF"/>
    <w:rsid w:val="00E541B8"/>
    <w:rsid w:val="00E87835"/>
    <w:rsid w:val="00EA7035"/>
    <w:rsid w:val="00EB6C32"/>
    <w:rsid w:val="00EF1A56"/>
    <w:rsid w:val="00EF738D"/>
    <w:rsid w:val="00F01153"/>
    <w:rsid w:val="00F057E4"/>
    <w:rsid w:val="00F07E94"/>
    <w:rsid w:val="00F12876"/>
    <w:rsid w:val="00F139AF"/>
    <w:rsid w:val="00F144A8"/>
    <w:rsid w:val="00F149FC"/>
    <w:rsid w:val="00F24021"/>
    <w:rsid w:val="00F32EAF"/>
    <w:rsid w:val="00F377AC"/>
    <w:rsid w:val="00F43BB7"/>
    <w:rsid w:val="00F46B46"/>
    <w:rsid w:val="00F53764"/>
    <w:rsid w:val="00F62C6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F057E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7D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en-gb/content/aqa-gcse-german-re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12</cp:revision>
  <dcterms:created xsi:type="dcterms:W3CDTF">2021-12-16T10:59:00Z</dcterms:created>
  <dcterms:modified xsi:type="dcterms:W3CDTF">2023-01-19T11:36:00Z</dcterms:modified>
</cp:coreProperties>
</file>