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0E" w:rsidRPr="008D5CBB" w:rsidRDefault="008D5CBB" w:rsidP="008D5CBB">
      <w:pPr>
        <w:pStyle w:val="NoSpacing"/>
        <w:jc w:val="center"/>
        <w:rPr>
          <w:b/>
          <w:color w:val="003366"/>
          <w:sz w:val="40"/>
        </w:rPr>
      </w:pPr>
      <w:r w:rsidRPr="008D5CBB">
        <w:rPr>
          <w:noProof/>
          <w:sz w:val="16"/>
          <w:lang w:val="en-GB" w:eastAsia="en-GB"/>
        </w:rPr>
        <w:drawing>
          <wp:anchor distT="0" distB="0" distL="114300" distR="114300" simplePos="0" relativeHeight="251658240" behindDoc="1" locked="0" layoutInCell="1" allowOverlap="1">
            <wp:simplePos x="0" y="0"/>
            <wp:positionH relativeFrom="margin">
              <wp:posOffset>4328160</wp:posOffset>
            </wp:positionH>
            <wp:positionV relativeFrom="paragraph">
              <wp:posOffset>0</wp:posOffset>
            </wp:positionV>
            <wp:extent cx="1948815" cy="2743200"/>
            <wp:effectExtent l="0" t="0" r="0" b="0"/>
            <wp:wrapTight wrapText="bothSides">
              <wp:wrapPolygon edited="0">
                <wp:start x="0" y="0"/>
                <wp:lineTo x="0" y="21450"/>
                <wp:lineTo x="21326" y="21450"/>
                <wp:lineTo x="21326" y="0"/>
                <wp:lineTo x="0" y="0"/>
              </wp:wrapPolygon>
            </wp:wrapTight>
            <wp:docPr id="3" name="Picture 2" descr="Macbeth&amp;quot; Poster by TCPUK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eth&amp;quot; Poster by TCPUK | Redbub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573" t="8769" r="20555" b="8398"/>
                    <a:stretch/>
                  </pic:blipFill>
                  <pic:spPr bwMode="auto">
                    <a:xfrm>
                      <a:off x="0" y="0"/>
                      <a:ext cx="1948815" cy="274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5CBB">
        <w:rPr>
          <w:b/>
          <w:color w:val="003366"/>
          <w:sz w:val="40"/>
        </w:rPr>
        <w:t xml:space="preserve">Year 7 </w:t>
      </w:r>
      <w:r w:rsidR="00DE650E" w:rsidRPr="008D5CBB">
        <w:rPr>
          <w:b/>
          <w:color w:val="003366"/>
          <w:sz w:val="40"/>
        </w:rPr>
        <w:t>Shadow Curriculum Guide</w:t>
      </w:r>
    </w:p>
    <w:p w:rsidR="00DE650E" w:rsidRPr="008D5CBB" w:rsidRDefault="00DE650E" w:rsidP="008D5CBB">
      <w:pPr>
        <w:pStyle w:val="NoSpacing"/>
        <w:jc w:val="center"/>
        <w:rPr>
          <w:b/>
          <w:color w:val="C00000"/>
          <w:sz w:val="40"/>
        </w:rPr>
      </w:pPr>
      <w:r w:rsidRPr="008D5CBB">
        <w:rPr>
          <w:b/>
          <w:color w:val="C00000"/>
          <w:sz w:val="40"/>
        </w:rPr>
        <w:t>Tragedy Unit of Work</w:t>
      </w:r>
      <w:r w:rsidR="008D5CBB" w:rsidRPr="008D5CBB">
        <w:rPr>
          <w:b/>
          <w:color w:val="C00000"/>
          <w:sz w:val="40"/>
        </w:rPr>
        <w:t xml:space="preserve"> </w:t>
      </w:r>
      <w:r w:rsidRPr="008D5CBB">
        <w:rPr>
          <w:b/>
          <w:color w:val="C00000"/>
          <w:sz w:val="40"/>
        </w:rPr>
        <w:t>(‘Macbeth’)</w:t>
      </w:r>
      <w:r w:rsidRPr="008D5CBB">
        <w:rPr>
          <w:noProof/>
          <w:color w:val="C00000"/>
          <w:sz w:val="14"/>
          <w:lang w:val="en-GB" w:eastAsia="en-GB"/>
        </w:rPr>
        <w:t xml:space="preserve"> </w:t>
      </w:r>
    </w:p>
    <w:p w:rsidR="00DE650E" w:rsidRPr="008D5CBB" w:rsidRDefault="00DE650E" w:rsidP="00DE650E">
      <w:pPr>
        <w:rPr>
          <w:b/>
          <w:color w:val="0070C0"/>
          <w:sz w:val="28"/>
        </w:rPr>
      </w:pPr>
    </w:p>
    <w:p w:rsidR="00DE650E" w:rsidRPr="008D5CBB" w:rsidRDefault="00DE650E" w:rsidP="008D5CBB">
      <w:pPr>
        <w:pStyle w:val="ListParagraph"/>
        <w:numPr>
          <w:ilvl w:val="0"/>
          <w:numId w:val="1"/>
        </w:numPr>
        <w:rPr>
          <w:color w:val="0070C0"/>
          <w:sz w:val="24"/>
        </w:rPr>
      </w:pPr>
      <w:r w:rsidRPr="008D5CBB">
        <w:rPr>
          <w:color w:val="0070C0"/>
          <w:sz w:val="24"/>
        </w:rPr>
        <w:t>The first thing you will need to do is</w:t>
      </w:r>
      <w:r w:rsidR="008D5CBB" w:rsidRPr="008D5CBB">
        <w:rPr>
          <w:color w:val="0070C0"/>
          <w:sz w:val="24"/>
        </w:rPr>
        <w:t xml:space="preserve"> use the table to below to check what the last bit of work you did in the lesson was. Then the table will tell you which ‘act’ you need to complete work on at home.</w:t>
      </w:r>
    </w:p>
    <w:p w:rsidR="008D5CBB" w:rsidRPr="008D5CBB" w:rsidRDefault="008D5CBB" w:rsidP="008D5CBB">
      <w:pPr>
        <w:pStyle w:val="ListParagraph"/>
        <w:rPr>
          <w:b/>
          <w:color w:val="0070C0"/>
          <w:sz w:val="24"/>
        </w:rPr>
      </w:pPr>
    </w:p>
    <w:p w:rsidR="008D5CBB" w:rsidRPr="008D5CBB" w:rsidRDefault="008D5CBB" w:rsidP="008D5CBB">
      <w:pPr>
        <w:pStyle w:val="ListParagraph"/>
        <w:rPr>
          <w:i/>
          <w:color w:val="7030A0"/>
          <w:sz w:val="24"/>
        </w:rPr>
      </w:pPr>
      <w:r w:rsidRPr="008D5CBB">
        <w:rPr>
          <w:i/>
          <w:color w:val="7030A0"/>
          <w:sz w:val="24"/>
        </w:rPr>
        <w:t xml:space="preserve">Here is a useful link with a scene by scene summary to guide you if you need help understanding the plot: </w:t>
      </w:r>
      <w:hyperlink r:id="rId6" w:history="1">
        <w:r w:rsidRPr="008D5CBB">
          <w:rPr>
            <w:rStyle w:val="Hyperlink"/>
            <w:i/>
            <w:color w:val="7030A0"/>
            <w:sz w:val="24"/>
          </w:rPr>
          <w:t>https://www.rsc.org.uk/shakespeare-learning-zone/macbeth/story/scene-by-scene</w:t>
        </w:r>
      </w:hyperlink>
    </w:p>
    <w:p w:rsidR="008D5CBB" w:rsidRDefault="008D5CBB" w:rsidP="008D5CBB">
      <w:pPr>
        <w:pStyle w:val="ListParagraph"/>
        <w:rPr>
          <w:b/>
          <w:color w:val="0070C0"/>
          <w:sz w:val="32"/>
        </w:rPr>
      </w:pPr>
    </w:p>
    <w:tbl>
      <w:tblPr>
        <w:tblStyle w:val="TableGrid"/>
        <w:tblW w:w="10490" w:type="dxa"/>
        <w:tblInd w:w="-572" w:type="dxa"/>
        <w:tblLook w:val="04A0" w:firstRow="1" w:lastRow="0" w:firstColumn="1" w:lastColumn="0" w:noHBand="0" w:noVBand="1"/>
      </w:tblPr>
      <w:tblGrid>
        <w:gridCol w:w="5387"/>
        <w:gridCol w:w="5103"/>
      </w:tblGrid>
      <w:tr w:rsidR="008D5CBB" w:rsidTr="008D5CBB">
        <w:tc>
          <w:tcPr>
            <w:tcW w:w="5387" w:type="dxa"/>
            <w:shd w:val="clear" w:color="auto" w:fill="FFF2CC" w:themeFill="accent4" w:themeFillTint="33"/>
          </w:tcPr>
          <w:p w:rsidR="008D5CBB" w:rsidRPr="008D5CBB" w:rsidRDefault="008D5CBB" w:rsidP="008D5CBB">
            <w:pPr>
              <w:pStyle w:val="ListParagraph"/>
              <w:ind w:left="0"/>
              <w:jc w:val="center"/>
              <w:rPr>
                <w:b/>
                <w:color w:val="0070C0"/>
                <w:sz w:val="24"/>
              </w:rPr>
            </w:pPr>
            <w:r w:rsidRPr="008D5CBB">
              <w:rPr>
                <w:b/>
                <w:color w:val="0070C0"/>
                <w:sz w:val="24"/>
              </w:rPr>
              <w:t>What have you been looking at in lessons?</w:t>
            </w:r>
          </w:p>
        </w:tc>
        <w:tc>
          <w:tcPr>
            <w:tcW w:w="5103" w:type="dxa"/>
            <w:shd w:val="clear" w:color="auto" w:fill="DEEAF6" w:themeFill="accent1" w:themeFillTint="33"/>
          </w:tcPr>
          <w:p w:rsidR="008D5CBB" w:rsidRPr="008D5CBB" w:rsidRDefault="008D5CBB" w:rsidP="008D5CBB">
            <w:pPr>
              <w:pStyle w:val="ListParagraph"/>
              <w:ind w:left="0"/>
              <w:jc w:val="center"/>
              <w:rPr>
                <w:b/>
                <w:color w:val="0070C0"/>
                <w:sz w:val="24"/>
              </w:rPr>
            </w:pPr>
            <w:r w:rsidRPr="008D5CBB">
              <w:rPr>
                <w:b/>
                <w:color w:val="0070C0"/>
                <w:sz w:val="24"/>
              </w:rPr>
              <w:t>Which link you need to go to on the website…</w:t>
            </w:r>
          </w:p>
        </w:tc>
      </w:tr>
      <w:tr w:rsidR="008D5CBB" w:rsidTr="008D5CBB">
        <w:tc>
          <w:tcPr>
            <w:tcW w:w="5387" w:type="dxa"/>
            <w:shd w:val="clear" w:color="auto" w:fill="FFF2CC" w:themeFill="accent4" w:themeFillTint="33"/>
          </w:tcPr>
          <w:p w:rsidR="008D5CBB" w:rsidRPr="008D5CBB" w:rsidRDefault="008D5CBB" w:rsidP="008D5CBB">
            <w:pPr>
              <w:pStyle w:val="ListParagraph"/>
              <w:ind w:left="0"/>
              <w:rPr>
                <w:color w:val="0070C0"/>
                <w:sz w:val="24"/>
              </w:rPr>
            </w:pPr>
            <w:r w:rsidRPr="008D5CBB">
              <w:rPr>
                <w:color w:val="002060"/>
                <w:sz w:val="24"/>
              </w:rPr>
              <w:t>I haven’t done anything yet!</w:t>
            </w:r>
          </w:p>
        </w:tc>
        <w:tc>
          <w:tcPr>
            <w:tcW w:w="5103" w:type="dxa"/>
            <w:shd w:val="clear" w:color="auto" w:fill="DEEAF6" w:themeFill="accent1" w:themeFillTint="33"/>
          </w:tcPr>
          <w:p w:rsidR="008D5CBB" w:rsidRPr="008D5CBB" w:rsidRDefault="008D5CBB" w:rsidP="008D5CBB">
            <w:pPr>
              <w:pStyle w:val="ListParagraph"/>
              <w:ind w:left="0"/>
              <w:rPr>
                <w:color w:val="C00000"/>
                <w:sz w:val="24"/>
              </w:rPr>
            </w:pPr>
            <w:r w:rsidRPr="008D5CBB">
              <w:rPr>
                <w:color w:val="C00000"/>
                <w:sz w:val="24"/>
              </w:rPr>
              <w:t>That’s OK! Click on ‘Macbeth 1 – Context and Setting’ and complete that work</w:t>
            </w:r>
          </w:p>
        </w:tc>
      </w:tr>
      <w:tr w:rsidR="008D5CBB" w:rsidTr="008D5CBB">
        <w:tc>
          <w:tcPr>
            <w:tcW w:w="5387" w:type="dxa"/>
            <w:shd w:val="clear" w:color="auto" w:fill="FFF2CC" w:themeFill="accent4" w:themeFillTint="33"/>
          </w:tcPr>
          <w:p w:rsidR="008D5CBB" w:rsidRPr="008D5CBB" w:rsidRDefault="008D5CBB" w:rsidP="008D5CBB">
            <w:pPr>
              <w:pStyle w:val="ListParagraph"/>
              <w:ind w:left="0"/>
              <w:rPr>
                <w:color w:val="002060"/>
                <w:sz w:val="24"/>
              </w:rPr>
            </w:pPr>
            <w:r w:rsidRPr="008D5CBB">
              <w:rPr>
                <w:color w:val="002060"/>
                <w:sz w:val="24"/>
              </w:rPr>
              <w:t>I have looked at the time period and the background info about the play</w:t>
            </w:r>
          </w:p>
        </w:tc>
        <w:tc>
          <w:tcPr>
            <w:tcW w:w="5103" w:type="dxa"/>
            <w:shd w:val="clear" w:color="auto" w:fill="DEEAF6" w:themeFill="accent1" w:themeFillTint="33"/>
          </w:tcPr>
          <w:p w:rsidR="008D5CBB" w:rsidRPr="008D5CBB" w:rsidRDefault="008D5CBB" w:rsidP="008D5CBB">
            <w:pPr>
              <w:pStyle w:val="ListParagraph"/>
              <w:ind w:left="0"/>
              <w:rPr>
                <w:color w:val="C00000"/>
                <w:sz w:val="24"/>
              </w:rPr>
            </w:pPr>
            <w:r w:rsidRPr="008D5CBB">
              <w:rPr>
                <w:color w:val="C00000"/>
                <w:sz w:val="24"/>
              </w:rPr>
              <w:t>Great – now it’s time to get started looking at the play by clicking on ‘Macbeth 2 – Act 1 – The Witches’</w:t>
            </w:r>
          </w:p>
        </w:tc>
      </w:tr>
      <w:tr w:rsidR="008D5CBB" w:rsidTr="008D5CBB">
        <w:tc>
          <w:tcPr>
            <w:tcW w:w="5387" w:type="dxa"/>
            <w:shd w:val="clear" w:color="auto" w:fill="FFF2CC" w:themeFill="accent4" w:themeFillTint="33"/>
          </w:tcPr>
          <w:p w:rsidR="008D5CBB" w:rsidRPr="008D5CBB" w:rsidRDefault="008D5CBB" w:rsidP="008D5CBB">
            <w:pPr>
              <w:pStyle w:val="ListParagraph"/>
              <w:ind w:left="0"/>
              <w:rPr>
                <w:color w:val="002060"/>
                <w:sz w:val="24"/>
              </w:rPr>
            </w:pPr>
            <w:r w:rsidRPr="008D5CBB">
              <w:rPr>
                <w:color w:val="002060"/>
                <w:sz w:val="24"/>
              </w:rPr>
              <w:t>I have looked at the three witches and their prophecy for Macbeth</w:t>
            </w:r>
          </w:p>
        </w:tc>
        <w:tc>
          <w:tcPr>
            <w:tcW w:w="5103" w:type="dxa"/>
            <w:shd w:val="clear" w:color="auto" w:fill="DEEAF6" w:themeFill="accent1" w:themeFillTint="33"/>
          </w:tcPr>
          <w:p w:rsidR="008D5CBB" w:rsidRPr="008D5CBB" w:rsidRDefault="008D5CBB" w:rsidP="008D5CBB">
            <w:pPr>
              <w:pStyle w:val="ListParagraph"/>
              <w:ind w:left="0"/>
              <w:rPr>
                <w:color w:val="C00000"/>
                <w:sz w:val="24"/>
              </w:rPr>
            </w:pPr>
            <w:r w:rsidRPr="008D5CBB">
              <w:rPr>
                <w:color w:val="C00000"/>
                <w:sz w:val="24"/>
              </w:rPr>
              <w:t>A good start, now click on ‘Macbeth 3 – Act 1 – Lady Macbeth’ to explore Macbeth’s intriguing wife!</w:t>
            </w:r>
          </w:p>
        </w:tc>
      </w:tr>
      <w:tr w:rsidR="008D5CBB" w:rsidTr="008D5CBB">
        <w:tc>
          <w:tcPr>
            <w:tcW w:w="5387" w:type="dxa"/>
            <w:shd w:val="clear" w:color="auto" w:fill="FFF2CC" w:themeFill="accent4" w:themeFillTint="33"/>
          </w:tcPr>
          <w:p w:rsidR="008D5CBB" w:rsidRPr="008D5CBB" w:rsidRDefault="008D5CBB" w:rsidP="008D5CBB">
            <w:pPr>
              <w:pStyle w:val="ListParagraph"/>
              <w:ind w:left="0"/>
              <w:rPr>
                <w:color w:val="002060"/>
                <w:sz w:val="24"/>
              </w:rPr>
            </w:pPr>
            <w:r w:rsidRPr="008D5CBB">
              <w:rPr>
                <w:color w:val="002060"/>
                <w:sz w:val="24"/>
              </w:rPr>
              <w:t>I have looked at the three witches and their prophecy and also Lady Macbeth’s plan for murder!</w:t>
            </w:r>
          </w:p>
        </w:tc>
        <w:tc>
          <w:tcPr>
            <w:tcW w:w="5103" w:type="dxa"/>
            <w:shd w:val="clear" w:color="auto" w:fill="DEEAF6" w:themeFill="accent1" w:themeFillTint="33"/>
          </w:tcPr>
          <w:p w:rsidR="008D5CBB" w:rsidRPr="008D5CBB" w:rsidRDefault="008D5CBB" w:rsidP="008D5CBB">
            <w:pPr>
              <w:pStyle w:val="ListParagraph"/>
              <w:ind w:left="0"/>
              <w:rPr>
                <w:color w:val="C00000"/>
                <w:sz w:val="24"/>
              </w:rPr>
            </w:pPr>
            <w:r w:rsidRPr="008D5CBB">
              <w:rPr>
                <w:color w:val="C00000"/>
                <w:sz w:val="24"/>
              </w:rPr>
              <w:t>You’re done with Act 1! Click on ‘Macbeth 4 – Act 2 – Killing Duncan’ to complete work on what happens next.</w:t>
            </w:r>
          </w:p>
        </w:tc>
      </w:tr>
      <w:tr w:rsidR="008D5CBB" w:rsidTr="008D5CBB">
        <w:tc>
          <w:tcPr>
            <w:tcW w:w="5387" w:type="dxa"/>
            <w:shd w:val="clear" w:color="auto" w:fill="FFF2CC" w:themeFill="accent4" w:themeFillTint="33"/>
          </w:tcPr>
          <w:p w:rsidR="008D5CBB" w:rsidRPr="008D5CBB" w:rsidRDefault="008D5CBB" w:rsidP="008D5CBB">
            <w:pPr>
              <w:pStyle w:val="ListParagraph"/>
              <w:ind w:left="0"/>
              <w:rPr>
                <w:color w:val="002060"/>
                <w:sz w:val="24"/>
              </w:rPr>
            </w:pPr>
            <w:r w:rsidRPr="008D5CBB">
              <w:rPr>
                <w:color w:val="002060"/>
                <w:sz w:val="24"/>
              </w:rPr>
              <w:t xml:space="preserve">I have done the above and I’ve also looked at the bit where King Duncan is killed. Macduff is getting suspicious too. </w:t>
            </w:r>
          </w:p>
        </w:tc>
        <w:tc>
          <w:tcPr>
            <w:tcW w:w="5103" w:type="dxa"/>
            <w:shd w:val="clear" w:color="auto" w:fill="DEEAF6" w:themeFill="accent1" w:themeFillTint="33"/>
          </w:tcPr>
          <w:p w:rsidR="008D5CBB" w:rsidRPr="00311D68" w:rsidRDefault="008D5CBB" w:rsidP="008D5CBB">
            <w:pPr>
              <w:pStyle w:val="ListParagraph"/>
              <w:ind w:left="0"/>
              <w:rPr>
                <w:color w:val="C00000"/>
                <w:sz w:val="24"/>
              </w:rPr>
            </w:pPr>
            <w:r w:rsidRPr="00311D68">
              <w:rPr>
                <w:color w:val="C00000"/>
                <w:sz w:val="24"/>
              </w:rPr>
              <w:t>Now go to ‘Macbeth 5 – Act 3 – Macbeth’s Soliloquy’ – don’t worry, you’ll learn what that means here!</w:t>
            </w:r>
          </w:p>
        </w:tc>
      </w:tr>
      <w:tr w:rsidR="008D5CBB" w:rsidTr="008D5CBB">
        <w:tc>
          <w:tcPr>
            <w:tcW w:w="5387" w:type="dxa"/>
            <w:shd w:val="clear" w:color="auto" w:fill="FFF2CC" w:themeFill="accent4" w:themeFillTint="33"/>
          </w:tcPr>
          <w:p w:rsidR="008D5CBB" w:rsidRPr="008D5CBB" w:rsidRDefault="008D5CBB" w:rsidP="008D5CBB">
            <w:pPr>
              <w:pStyle w:val="ListParagraph"/>
              <w:ind w:left="0"/>
              <w:rPr>
                <w:color w:val="002060"/>
                <w:sz w:val="24"/>
              </w:rPr>
            </w:pPr>
            <w:r w:rsidRPr="008D5CBB">
              <w:rPr>
                <w:color w:val="002060"/>
                <w:sz w:val="24"/>
              </w:rPr>
              <w:t>You’ve done all of the above and you’ve also learnt about how scared Macbeth is of his old friend Banquo</w:t>
            </w:r>
            <w:r>
              <w:rPr>
                <w:color w:val="002060"/>
                <w:sz w:val="24"/>
              </w:rPr>
              <w:t>.</w:t>
            </w:r>
          </w:p>
        </w:tc>
        <w:tc>
          <w:tcPr>
            <w:tcW w:w="5103" w:type="dxa"/>
            <w:shd w:val="clear" w:color="auto" w:fill="DEEAF6" w:themeFill="accent1" w:themeFillTint="33"/>
          </w:tcPr>
          <w:p w:rsidR="008D5CBB" w:rsidRPr="00311D68" w:rsidRDefault="008D5CBB" w:rsidP="008D5CBB">
            <w:pPr>
              <w:pStyle w:val="ListParagraph"/>
              <w:ind w:left="0"/>
              <w:rPr>
                <w:color w:val="C00000"/>
                <w:sz w:val="24"/>
              </w:rPr>
            </w:pPr>
            <w:r w:rsidRPr="00311D68">
              <w:rPr>
                <w:color w:val="C00000"/>
                <w:sz w:val="24"/>
              </w:rPr>
              <w:t xml:space="preserve">It’s time to see what Macbeth does about this, click on ‘Macbeth 6 – Act 4 – </w:t>
            </w:r>
            <w:bookmarkStart w:id="0" w:name="_GoBack"/>
            <w:bookmarkEnd w:id="0"/>
            <w:r w:rsidRPr="00311D68">
              <w:rPr>
                <w:color w:val="C00000"/>
                <w:sz w:val="24"/>
              </w:rPr>
              <w:t>The Witches Again’ to complete work on this.</w:t>
            </w:r>
          </w:p>
        </w:tc>
      </w:tr>
      <w:tr w:rsidR="008D5CBB" w:rsidTr="008D5CBB">
        <w:tc>
          <w:tcPr>
            <w:tcW w:w="5387" w:type="dxa"/>
            <w:shd w:val="clear" w:color="auto" w:fill="FFF2CC" w:themeFill="accent4" w:themeFillTint="33"/>
          </w:tcPr>
          <w:p w:rsidR="008D5CBB" w:rsidRPr="008D5CBB" w:rsidRDefault="008D5CBB" w:rsidP="008D5CBB">
            <w:pPr>
              <w:pStyle w:val="ListParagraph"/>
              <w:ind w:left="0"/>
              <w:rPr>
                <w:color w:val="002060"/>
                <w:sz w:val="24"/>
              </w:rPr>
            </w:pPr>
            <w:r>
              <w:rPr>
                <w:color w:val="002060"/>
                <w:sz w:val="24"/>
              </w:rPr>
              <w:t>Macbeth has killed Macduff’s family! Macduff is raising an army to take down Macbeth…</w:t>
            </w:r>
          </w:p>
        </w:tc>
        <w:tc>
          <w:tcPr>
            <w:tcW w:w="5103" w:type="dxa"/>
            <w:shd w:val="clear" w:color="auto" w:fill="DEEAF6" w:themeFill="accent1" w:themeFillTint="33"/>
          </w:tcPr>
          <w:p w:rsidR="008D5CBB" w:rsidRPr="00311D68" w:rsidRDefault="008D5CBB" w:rsidP="008D5CBB">
            <w:pPr>
              <w:pStyle w:val="ListParagraph"/>
              <w:ind w:left="0"/>
              <w:rPr>
                <w:color w:val="C00000"/>
                <w:sz w:val="24"/>
              </w:rPr>
            </w:pPr>
            <w:r w:rsidRPr="00311D68">
              <w:rPr>
                <w:color w:val="C00000"/>
                <w:sz w:val="24"/>
              </w:rPr>
              <w:t>You’re ready for the final scene, the end of Macbeth! Click on ‘Macbeth 7 – The End’ to finish this unit of work.</w:t>
            </w:r>
          </w:p>
        </w:tc>
      </w:tr>
    </w:tbl>
    <w:p w:rsidR="008D5CBB" w:rsidRDefault="008D5CBB" w:rsidP="008D5CBB">
      <w:pPr>
        <w:pStyle w:val="ListParagraph"/>
        <w:rPr>
          <w:b/>
          <w:color w:val="0070C0"/>
          <w:sz w:val="32"/>
        </w:rPr>
      </w:pPr>
    </w:p>
    <w:p w:rsidR="00DE650E" w:rsidRPr="008D5CBB" w:rsidRDefault="00DE650E" w:rsidP="00DE650E">
      <w:pPr>
        <w:pStyle w:val="ListParagraph"/>
        <w:numPr>
          <w:ilvl w:val="0"/>
          <w:numId w:val="1"/>
        </w:numPr>
        <w:rPr>
          <w:color w:val="0070C0"/>
          <w:sz w:val="24"/>
        </w:rPr>
      </w:pPr>
      <w:r w:rsidRPr="008D5CBB">
        <w:rPr>
          <w:color w:val="0070C0"/>
          <w:sz w:val="24"/>
        </w:rPr>
        <w:t xml:space="preserve">Work your way through the relevant link. </w:t>
      </w:r>
    </w:p>
    <w:p w:rsidR="00DE650E" w:rsidRPr="008D5CBB" w:rsidRDefault="00DE650E" w:rsidP="00DE650E">
      <w:pPr>
        <w:pStyle w:val="ListParagraph"/>
        <w:rPr>
          <w:color w:val="0070C0"/>
          <w:sz w:val="24"/>
        </w:rPr>
      </w:pPr>
      <w:r w:rsidRPr="008D5CBB">
        <w:rPr>
          <w:color w:val="0070C0"/>
          <w:sz w:val="24"/>
        </w:rPr>
        <w:t xml:space="preserve">Aim to work for the same amount of time you would in school, which is roughly 35-40 minutes per lesson (don’t forget about silent reading!) Then times that by how many lessons you will miss (for example, someone who has three lessons of Romeo and Juliet </w:t>
      </w:r>
      <w:r w:rsidRPr="008D5CBB">
        <w:rPr>
          <w:color w:val="0070C0"/>
          <w:sz w:val="24"/>
        </w:rPr>
        <w:lastRenderedPageBreak/>
        <w:t xml:space="preserve">a week has 1hr 45 minutes – 2 </w:t>
      </w:r>
      <w:proofErr w:type="spellStart"/>
      <w:r w:rsidRPr="008D5CBB">
        <w:rPr>
          <w:color w:val="0070C0"/>
          <w:sz w:val="24"/>
        </w:rPr>
        <w:t>hrs</w:t>
      </w:r>
      <w:proofErr w:type="spellEnd"/>
      <w:r w:rsidRPr="008D5CBB">
        <w:rPr>
          <w:color w:val="0070C0"/>
          <w:sz w:val="24"/>
        </w:rPr>
        <w:t xml:space="preserve"> of English work a week, then they may add on a bit more if they are missing another lesson)</w:t>
      </w:r>
    </w:p>
    <w:p w:rsidR="00DE650E" w:rsidRPr="008D5CBB" w:rsidRDefault="00DE650E" w:rsidP="00DE650E">
      <w:pPr>
        <w:pStyle w:val="ListParagraph"/>
        <w:numPr>
          <w:ilvl w:val="0"/>
          <w:numId w:val="1"/>
        </w:numPr>
        <w:rPr>
          <w:color w:val="002060"/>
          <w:sz w:val="24"/>
        </w:rPr>
      </w:pPr>
      <w:r w:rsidRPr="008D5CBB">
        <w:rPr>
          <w:color w:val="002060"/>
          <w:sz w:val="24"/>
        </w:rPr>
        <w:t>Save your work and bring it in to your English teacher to give them in your next lesson, or when you are back in school</w:t>
      </w:r>
    </w:p>
    <w:p w:rsidR="008D5CBB" w:rsidRPr="00782D61" w:rsidRDefault="008D5CBB" w:rsidP="008D5CBB">
      <w:pPr>
        <w:pStyle w:val="ListParagraph"/>
        <w:rPr>
          <w:b/>
          <w:color w:val="002060"/>
          <w:sz w:val="32"/>
        </w:rPr>
      </w:pPr>
    </w:p>
    <w:p w:rsidR="00710F30" w:rsidRDefault="00710F30"/>
    <w:sectPr w:rsidR="00710F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64C15"/>
    <w:multiLevelType w:val="hybridMultilevel"/>
    <w:tmpl w:val="FAA8A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0E"/>
    <w:rsid w:val="00311D68"/>
    <w:rsid w:val="00710F30"/>
    <w:rsid w:val="008D5CBB"/>
    <w:rsid w:val="00C77E3A"/>
    <w:rsid w:val="00DE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C4B1E-CC38-417D-84F4-9AB1894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5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50E"/>
    <w:pPr>
      <w:spacing w:after="0" w:line="240" w:lineRule="auto"/>
    </w:pPr>
    <w:rPr>
      <w:lang w:val="en-US"/>
    </w:rPr>
  </w:style>
  <w:style w:type="paragraph" w:styleId="ListParagraph">
    <w:name w:val="List Paragraph"/>
    <w:basedOn w:val="Normal"/>
    <w:uiPriority w:val="34"/>
    <w:qFormat/>
    <w:rsid w:val="00DE650E"/>
    <w:pPr>
      <w:ind w:left="720"/>
      <w:contextualSpacing/>
    </w:pPr>
  </w:style>
  <w:style w:type="character" w:styleId="Hyperlink">
    <w:name w:val="Hyperlink"/>
    <w:basedOn w:val="DefaultParagraphFont"/>
    <w:uiPriority w:val="99"/>
    <w:unhideWhenUsed/>
    <w:rsid w:val="008D5CBB"/>
    <w:rPr>
      <w:color w:val="0563C1" w:themeColor="hyperlink"/>
      <w:u w:val="single"/>
    </w:rPr>
  </w:style>
  <w:style w:type="table" w:styleId="TableGrid">
    <w:name w:val="Table Grid"/>
    <w:basedOn w:val="TableNormal"/>
    <w:uiPriority w:val="39"/>
    <w:rsid w:val="008D5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sc.org.uk/shakespeare-learning-zone/macbeth/story/scene-by-sce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4</cp:revision>
  <dcterms:created xsi:type="dcterms:W3CDTF">2021-12-03T14:42:00Z</dcterms:created>
  <dcterms:modified xsi:type="dcterms:W3CDTF">2022-02-09T11:46:00Z</dcterms:modified>
</cp:coreProperties>
</file>