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w:t>
                            </w:r>
                            <w:r w:rsidR="0099043F">
                              <w:rPr>
                                <w:b/>
                                <w:color w:val="000000" w:themeColor="text1"/>
                                <w:sz w:val="24"/>
                                <w:szCs w:val="24"/>
                                <w:lang w:val="en-GB"/>
                              </w:rPr>
                              <w:t>consider what it means to worship something or somebody. You will understand why people feel they want to be active in their worship. You will understand key features of worship in Christianity and in one other religion.</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w:t>
                      </w:r>
                      <w:r w:rsidR="0099043F">
                        <w:rPr>
                          <w:b/>
                          <w:color w:val="000000" w:themeColor="text1"/>
                          <w:sz w:val="24"/>
                          <w:szCs w:val="24"/>
                          <w:lang w:val="en-GB"/>
                        </w:rPr>
                        <w:t>consider what it means to worship something or somebody. You will understand why people feel they want to be active in their worship. You will understand key features of worship in Christianity and in one other religion.</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99043F">
        <w:rPr>
          <w:rFonts w:ascii="Comic Sans MS" w:hAnsi="Comic Sans MS"/>
          <w:b/>
          <w:sz w:val="44"/>
          <w:szCs w:val="44"/>
          <w:u w:val="single"/>
          <w:lang w:val="en-GB"/>
        </w:rPr>
        <w:t>WORSHIP</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623597"/>
    <w:rsid w:val="006503ED"/>
    <w:rsid w:val="00777154"/>
    <w:rsid w:val="007B44AE"/>
    <w:rsid w:val="00965AFD"/>
    <w:rsid w:val="0099043F"/>
    <w:rsid w:val="00B02D47"/>
    <w:rsid w:val="00FA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D16B"/>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B81C-47D6-AA91-78842573FF5A}"/>
              </c:ext>
            </c:extLst>
          </c:dPt>
          <c:dPt>
            <c:idx val="3"/>
            <c:bubble3D val="0"/>
            <c:explosion val="3"/>
            <c:extLst>
              <c:ext xmlns:c16="http://schemas.microsoft.com/office/drawing/2014/chart" uri="{C3380CC4-5D6E-409C-BE32-E72D297353CC}">
                <c16:uniqueId val="{00000001-B81C-47D6-AA91-78842573FF5A}"/>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B81C-47D6-AA91-78842573FF5A}"/>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2021-02-10T11:26:00Z</dcterms:created>
  <dcterms:modified xsi:type="dcterms:W3CDTF">2021-02-10T11:26:00Z</dcterms:modified>
</cp:coreProperties>
</file>