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C22" w:rsidRPr="00BC0BCC" w:rsidRDefault="00BC0BCC" w:rsidP="007E271C">
      <w:pPr>
        <w:pStyle w:val="NoSpacing"/>
        <w:jc w:val="center"/>
        <w:rPr>
          <w:b/>
          <w:sz w:val="32"/>
        </w:rPr>
      </w:pPr>
      <w:r>
        <w:rPr>
          <w:noProof/>
          <w:lang w:eastAsia="en-GB"/>
        </w:rPr>
        <w:drawing>
          <wp:anchor distT="0" distB="0" distL="114300" distR="114300" simplePos="0" relativeHeight="251658240" behindDoc="1" locked="0" layoutInCell="1" allowOverlap="1" wp14:anchorId="01429EDF" wp14:editId="73D580F7">
            <wp:simplePos x="0" y="0"/>
            <wp:positionH relativeFrom="margin">
              <wp:align>left</wp:align>
            </wp:positionH>
            <wp:positionV relativeFrom="paragraph">
              <wp:posOffset>0</wp:posOffset>
            </wp:positionV>
            <wp:extent cx="3190875" cy="1595120"/>
            <wp:effectExtent l="0" t="0" r="9525" b="5080"/>
            <wp:wrapTight wrapText="bothSides">
              <wp:wrapPolygon edited="0">
                <wp:start x="0" y="0"/>
                <wp:lineTo x="0" y="21411"/>
                <wp:lineTo x="21536" y="21411"/>
                <wp:lineTo x="21536" y="0"/>
                <wp:lineTo x="0" y="0"/>
              </wp:wrapPolygon>
            </wp:wrapTight>
            <wp:docPr id="1" name="Picture 1" descr="The Crucible: The Insanity of Crowd Mentality – Making A Long Story 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he Crucible: The Insanity of Crowd Mentality – Making A Long Story Sho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90875" cy="1595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271C" w:rsidRPr="00BC0BCC">
        <w:rPr>
          <w:b/>
          <w:sz w:val="32"/>
        </w:rPr>
        <w:t>The Crucible Home Learning</w:t>
      </w:r>
    </w:p>
    <w:p w:rsidR="007E271C" w:rsidRDefault="007E271C" w:rsidP="007E271C">
      <w:pPr>
        <w:pStyle w:val="NoSpacing"/>
        <w:jc w:val="center"/>
        <w:rPr>
          <w:b/>
          <w:sz w:val="28"/>
        </w:rPr>
      </w:pPr>
    </w:p>
    <w:p w:rsidR="007E271C" w:rsidRDefault="007E271C" w:rsidP="007E271C">
      <w:pPr>
        <w:pStyle w:val="NoSpacing"/>
        <w:jc w:val="center"/>
        <w:rPr>
          <w:b/>
          <w:sz w:val="28"/>
        </w:rPr>
      </w:pPr>
    </w:p>
    <w:p w:rsidR="007E271C" w:rsidRPr="007E271C" w:rsidRDefault="007E271C" w:rsidP="007E271C">
      <w:pPr>
        <w:pStyle w:val="NoSpacing"/>
        <w:rPr>
          <w:b/>
          <w:sz w:val="24"/>
        </w:rPr>
      </w:pPr>
      <w:r w:rsidRPr="007E271C">
        <w:rPr>
          <w:b/>
          <w:sz w:val="24"/>
        </w:rPr>
        <w:t>Copy and paste the link below into your web browser for a copy of the text.</w:t>
      </w:r>
    </w:p>
    <w:p w:rsidR="007E271C" w:rsidRPr="007E271C" w:rsidRDefault="00BC0BCC" w:rsidP="007E271C">
      <w:pPr>
        <w:pStyle w:val="NoSpacing"/>
        <w:rPr>
          <w:b/>
          <w:sz w:val="24"/>
        </w:rPr>
      </w:pPr>
      <w:hyperlink r:id="rId6" w:history="1">
        <w:r w:rsidR="007E271C" w:rsidRPr="007E271C">
          <w:rPr>
            <w:rStyle w:val="Hyperlink"/>
            <w:b/>
            <w:sz w:val="24"/>
          </w:rPr>
          <w:t>https://archive.org/stream/TheCrucibleFullText/The+Crucible+full+text_djvu.txt</w:t>
        </w:r>
      </w:hyperlink>
    </w:p>
    <w:p w:rsidR="007E271C" w:rsidRDefault="007E271C" w:rsidP="007E271C">
      <w:pPr>
        <w:pStyle w:val="NoSpacing"/>
        <w:rPr>
          <w:b/>
          <w:sz w:val="28"/>
        </w:rPr>
      </w:pPr>
    </w:p>
    <w:p w:rsidR="00BC0BCC" w:rsidRDefault="00BC0BCC" w:rsidP="00BC0BCC">
      <w:pPr>
        <w:pStyle w:val="NoSpacing"/>
        <w:numPr>
          <w:ilvl w:val="0"/>
          <w:numId w:val="1"/>
        </w:numPr>
        <w:rPr>
          <w:b/>
          <w:sz w:val="28"/>
        </w:rPr>
      </w:pPr>
      <w:r>
        <w:rPr>
          <w:b/>
          <w:sz w:val="28"/>
        </w:rPr>
        <w:t>Context</w:t>
      </w:r>
    </w:p>
    <w:p w:rsidR="007E271C" w:rsidRPr="00BC0BCC" w:rsidRDefault="00BC0BCC" w:rsidP="00BC0BCC">
      <w:pPr>
        <w:pStyle w:val="NoSpacing"/>
        <w:ind w:left="720"/>
        <w:rPr>
          <w:sz w:val="28"/>
        </w:rPr>
      </w:pPr>
      <w:r w:rsidRPr="00BC0BCC">
        <w:rPr>
          <w:sz w:val="28"/>
        </w:rPr>
        <w:t>Use ‘Accompanying Resource 1 – Salem Witch Trials’ to complete some research about the context of the play.</w:t>
      </w:r>
    </w:p>
    <w:p w:rsidR="00BC0BCC" w:rsidRDefault="00BC0BCC" w:rsidP="00BC0BCC">
      <w:pPr>
        <w:pStyle w:val="NoSpacing"/>
        <w:ind w:left="720"/>
        <w:rPr>
          <w:b/>
          <w:sz w:val="28"/>
        </w:rPr>
      </w:pPr>
    </w:p>
    <w:p w:rsidR="00BC0BCC" w:rsidRDefault="00BC0BCC" w:rsidP="00BC0BCC">
      <w:pPr>
        <w:pStyle w:val="NoSpacing"/>
        <w:numPr>
          <w:ilvl w:val="0"/>
          <w:numId w:val="1"/>
        </w:numPr>
        <w:rPr>
          <w:b/>
          <w:sz w:val="28"/>
        </w:rPr>
      </w:pPr>
      <w:r>
        <w:rPr>
          <w:b/>
          <w:sz w:val="28"/>
        </w:rPr>
        <w:t>Characters</w:t>
      </w:r>
    </w:p>
    <w:p w:rsidR="00BC0BCC" w:rsidRDefault="00BC0BCC" w:rsidP="00BC0BCC">
      <w:pPr>
        <w:pStyle w:val="NoSpacing"/>
        <w:ind w:left="720"/>
        <w:rPr>
          <w:sz w:val="28"/>
        </w:rPr>
      </w:pPr>
      <w:r w:rsidRPr="00BC0BCC">
        <w:rPr>
          <w:sz w:val="28"/>
        </w:rPr>
        <w:t>Use ‘Accompanying Resource 2 – Character List’ to make notes on each of the characters you have come across so far (or all, if you’ve read the whole text.) This could be personality, treatment of others, how they are treated, your opinion of that character. There is a help sheet with some ideas already listed to help you if you need it.</w:t>
      </w:r>
    </w:p>
    <w:p w:rsidR="00BC0BCC" w:rsidRDefault="00BC0BCC" w:rsidP="00BC0BCC">
      <w:pPr>
        <w:pStyle w:val="NoSpacing"/>
        <w:ind w:left="720"/>
        <w:rPr>
          <w:sz w:val="28"/>
        </w:rPr>
      </w:pPr>
    </w:p>
    <w:p w:rsidR="00BC0BCC" w:rsidRPr="00BC0BCC" w:rsidRDefault="00BC0BCC" w:rsidP="00BC0BCC">
      <w:pPr>
        <w:pStyle w:val="NoSpacing"/>
        <w:numPr>
          <w:ilvl w:val="0"/>
          <w:numId w:val="1"/>
        </w:numPr>
        <w:rPr>
          <w:b/>
          <w:sz w:val="28"/>
        </w:rPr>
      </w:pPr>
      <w:r w:rsidRPr="00BC0BCC">
        <w:rPr>
          <w:b/>
          <w:sz w:val="28"/>
        </w:rPr>
        <w:t>Act by Act Questions</w:t>
      </w:r>
    </w:p>
    <w:p w:rsidR="00BC0BCC" w:rsidRDefault="00BC0BCC" w:rsidP="00BC0BCC">
      <w:pPr>
        <w:pStyle w:val="NoSpacing"/>
        <w:ind w:left="720"/>
        <w:rPr>
          <w:sz w:val="28"/>
        </w:rPr>
      </w:pPr>
      <w:r>
        <w:rPr>
          <w:sz w:val="28"/>
        </w:rPr>
        <w:t xml:space="preserve">Use ‘Accompanying Resource 3 – Act by Act Questions’ to answer the questions for the acts you have read (or all if you’ve completed the text) </w:t>
      </w:r>
    </w:p>
    <w:p w:rsidR="00BC0BCC" w:rsidRDefault="00BC0BCC" w:rsidP="00BC0BCC">
      <w:pPr>
        <w:pStyle w:val="NoSpacing"/>
        <w:ind w:left="720"/>
        <w:rPr>
          <w:sz w:val="28"/>
        </w:rPr>
      </w:pPr>
    </w:p>
    <w:p w:rsidR="00BC0BCC" w:rsidRPr="00BC0BCC" w:rsidRDefault="00BC0BCC" w:rsidP="00BC0BCC">
      <w:pPr>
        <w:pStyle w:val="NoSpacing"/>
        <w:numPr>
          <w:ilvl w:val="0"/>
          <w:numId w:val="1"/>
        </w:numPr>
        <w:rPr>
          <w:b/>
          <w:sz w:val="28"/>
        </w:rPr>
      </w:pPr>
      <w:r w:rsidRPr="00BC0BCC">
        <w:rPr>
          <w:b/>
          <w:sz w:val="28"/>
        </w:rPr>
        <w:t>Extension Challenge</w:t>
      </w:r>
    </w:p>
    <w:p w:rsidR="00BC0BCC" w:rsidRDefault="00BC0BCC" w:rsidP="00BC0BCC">
      <w:pPr>
        <w:pStyle w:val="NoSpacing"/>
        <w:ind w:left="720"/>
        <w:rPr>
          <w:sz w:val="28"/>
        </w:rPr>
      </w:pPr>
      <w:r>
        <w:rPr>
          <w:sz w:val="28"/>
        </w:rPr>
        <w:t>There are some more challenging questions on the attachment ‘Accompanying Resource 4’ which you can have a go at answering!</w:t>
      </w:r>
    </w:p>
    <w:p w:rsidR="00BC0BCC" w:rsidRPr="00BC0BCC" w:rsidRDefault="00BC0BCC" w:rsidP="00BC0BCC">
      <w:pPr>
        <w:pStyle w:val="NoSpacing"/>
        <w:ind w:left="720"/>
        <w:rPr>
          <w:b/>
          <w:sz w:val="28"/>
        </w:rPr>
      </w:pPr>
    </w:p>
    <w:p w:rsidR="00BC0BCC" w:rsidRPr="00BC0BCC" w:rsidRDefault="00BC0BCC" w:rsidP="00BC0BCC">
      <w:pPr>
        <w:pStyle w:val="NoSpacing"/>
        <w:numPr>
          <w:ilvl w:val="0"/>
          <w:numId w:val="1"/>
        </w:numPr>
        <w:rPr>
          <w:b/>
          <w:sz w:val="28"/>
        </w:rPr>
      </w:pPr>
      <w:r w:rsidRPr="00BC0BCC">
        <w:rPr>
          <w:b/>
          <w:sz w:val="28"/>
        </w:rPr>
        <w:t>End of Play Task</w:t>
      </w:r>
    </w:p>
    <w:p w:rsidR="00BC0BCC" w:rsidRDefault="00BC0BCC" w:rsidP="00BC0BCC">
      <w:pPr>
        <w:pStyle w:val="NoSpacing"/>
        <w:ind w:left="720"/>
        <w:rPr>
          <w:sz w:val="28"/>
        </w:rPr>
      </w:pPr>
      <w:r>
        <w:rPr>
          <w:sz w:val="28"/>
        </w:rPr>
        <w:t>Create a new front and back cover for the play, thinking of key images and symbols, appropriate fonts, a ‘slogan’ and a blurb</w:t>
      </w:r>
    </w:p>
    <w:p w:rsidR="00BC0BCC" w:rsidRDefault="00BC0BCC" w:rsidP="00BC0BCC">
      <w:pPr>
        <w:pStyle w:val="NoSpacing"/>
        <w:ind w:left="720"/>
        <w:rPr>
          <w:sz w:val="28"/>
        </w:rPr>
      </w:pPr>
    </w:p>
    <w:p w:rsidR="00BC0BCC" w:rsidRPr="00BC0BCC" w:rsidRDefault="00BC0BCC" w:rsidP="00BC0BCC">
      <w:pPr>
        <w:pStyle w:val="NoSpacing"/>
        <w:numPr>
          <w:ilvl w:val="0"/>
          <w:numId w:val="1"/>
        </w:numPr>
        <w:rPr>
          <w:b/>
          <w:sz w:val="28"/>
        </w:rPr>
      </w:pPr>
      <w:bookmarkStart w:id="0" w:name="_GoBack"/>
      <w:bookmarkEnd w:id="0"/>
      <w:r w:rsidRPr="00BC0BCC">
        <w:rPr>
          <w:b/>
          <w:sz w:val="28"/>
        </w:rPr>
        <w:t>Watching ‘The Crucible’</w:t>
      </w:r>
    </w:p>
    <w:p w:rsidR="00BC0BCC" w:rsidRPr="00BC0BCC" w:rsidRDefault="00BC0BCC" w:rsidP="00BC0BCC">
      <w:pPr>
        <w:pStyle w:val="NoSpacing"/>
        <w:ind w:left="720"/>
        <w:rPr>
          <w:sz w:val="28"/>
        </w:rPr>
      </w:pPr>
      <w:r>
        <w:rPr>
          <w:sz w:val="28"/>
        </w:rPr>
        <w:t xml:space="preserve">Log into </w:t>
      </w:r>
      <w:proofErr w:type="spellStart"/>
      <w:r>
        <w:rPr>
          <w:sz w:val="28"/>
        </w:rPr>
        <w:t>ClickView</w:t>
      </w:r>
      <w:proofErr w:type="spellEnd"/>
      <w:r>
        <w:rPr>
          <w:sz w:val="28"/>
        </w:rPr>
        <w:t xml:space="preserve"> by following the link on Moodle and using your usual log in details. Type in ‘The Crucible’ and watch the film version of the play.</w:t>
      </w:r>
    </w:p>
    <w:sectPr w:rsidR="00BC0BCC" w:rsidRPr="00BC0B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E04497"/>
    <w:multiLevelType w:val="hybridMultilevel"/>
    <w:tmpl w:val="103AF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71C"/>
    <w:rsid w:val="002B167E"/>
    <w:rsid w:val="007E271C"/>
    <w:rsid w:val="009F7183"/>
    <w:rsid w:val="00BC0BCC"/>
    <w:rsid w:val="00ED2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47BCF"/>
  <w15:chartTrackingRefBased/>
  <w15:docId w15:val="{28E575C3-6ADB-4C8F-A1E7-1AC4CE7A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271C"/>
    <w:pPr>
      <w:spacing w:after="0" w:line="240" w:lineRule="auto"/>
    </w:pPr>
  </w:style>
  <w:style w:type="character" w:styleId="Hyperlink">
    <w:name w:val="Hyperlink"/>
    <w:basedOn w:val="DefaultParagraphFont"/>
    <w:uiPriority w:val="99"/>
    <w:unhideWhenUsed/>
    <w:rsid w:val="007E27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chive.org/stream/TheCrucibleFullText/The+Crucible+full+text_djvu.tx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de Carles</dc:creator>
  <cp:keywords/>
  <dc:description/>
  <cp:lastModifiedBy>Jacqueline de Carles</cp:lastModifiedBy>
  <cp:revision>2</cp:revision>
  <dcterms:created xsi:type="dcterms:W3CDTF">2021-05-20T09:12:00Z</dcterms:created>
  <dcterms:modified xsi:type="dcterms:W3CDTF">2021-05-20T14:57:00Z</dcterms:modified>
</cp:coreProperties>
</file>